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72F" w:rsidRPr="006C7696" w:rsidRDefault="0043072F" w:rsidP="0043072F">
      <w:pPr>
        <w:rPr>
          <w:b/>
        </w:rPr>
      </w:pPr>
      <w:r w:rsidRPr="006C7696">
        <w:rPr>
          <w:b/>
        </w:rPr>
        <w:t>Notice of Determination</w:t>
      </w:r>
      <w:r w:rsidR="00546F5C" w:rsidRPr="006C7696">
        <w:rPr>
          <w:b/>
        </w:rPr>
        <w:t xml:space="preserve"> </w:t>
      </w:r>
    </w:p>
    <w:p w:rsidR="00B30EDB" w:rsidRPr="006C7696" w:rsidRDefault="00EC26C8" w:rsidP="0043072F">
      <w:pPr>
        <w:rPr>
          <w:noProof/>
          <w:lang w:eastAsia="en-CA"/>
        </w:rPr>
      </w:pPr>
      <w:r>
        <w:rPr>
          <w:noProof/>
          <w:lang w:eastAsia="en-CA"/>
        </w:rPr>
        <mc:AlternateContent>
          <mc:Choice Requires="wps">
            <w:drawing>
              <wp:anchor distT="45720" distB="45720" distL="114300" distR="114300" simplePos="0" relativeHeight="251659264" behindDoc="0" locked="0" layoutInCell="1" allowOverlap="1" wp14:anchorId="0F766BDA" wp14:editId="4D14344E">
                <wp:simplePos x="0" y="0"/>
                <wp:positionH relativeFrom="margin">
                  <wp:align>center</wp:align>
                </wp:positionH>
                <wp:positionV relativeFrom="paragraph">
                  <wp:posOffset>693911</wp:posOffset>
                </wp:positionV>
                <wp:extent cx="5915025" cy="7267492"/>
                <wp:effectExtent l="0" t="0" r="28575"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7267492"/>
                        </a:xfrm>
                        <a:prstGeom prst="rect">
                          <a:avLst/>
                        </a:prstGeom>
                        <a:noFill/>
                        <a:ln w="9525">
                          <a:solidFill>
                            <a:srgbClr val="000000"/>
                          </a:solidFill>
                          <a:miter lim="800000"/>
                          <a:headEnd/>
                          <a:tailEnd/>
                        </a:ln>
                      </wps:spPr>
                      <wps:txbx>
                        <w:txbxContent>
                          <w:p w:rsidR="0043072F" w:rsidRPr="0029742F" w:rsidRDefault="0043072F" w:rsidP="0043072F">
                            <w:pPr>
                              <w:pStyle w:val="Heading1"/>
                              <w:rPr>
                                <w:lang w:val="en-US"/>
                              </w:rPr>
                            </w:pPr>
                            <w:bookmarkStart w:id="0" w:name="_Toc13819793"/>
                            <w:bookmarkStart w:id="1" w:name="_Toc13823195"/>
                            <w:bookmarkStart w:id="2" w:name="_Toc14963757"/>
                            <w:bookmarkStart w:id="3" w:name="_Toc14966154"/>
                            <w:bookmarkStart w:id="4" w:name="_Toc14966204"/>
                            <w:bookmarkStart w:id="5" w:name="_Toc15075293"/>
                            <w:bookmarkStart w:id="6" w:name="_Toc16779906"/>
                            <w:bookmarkStart w:id="7" w:name="_Toc16780308"/>
                            <w:r w:rsidRPr="0029742F">
                              <w:rPr>
                                <w:lang w:val="en-US"/>
                              </w:rPr>
                              <w:t>Notice of Determination</w:t>
                            </w:r>
                            <w:bookmarkEnd w:id="0"/>
                            <w:bookmarkEnd w:id="1"/>
                            <w:bookmarkEnd w:id="2"/>
                            <w:bookmarkEnd w:id="3"/>
                            <w:bookmarkEnd w:id="4"/>
                            <w:bookmarkEnd w:id="5"/>
                            <w:bookmarkEnd w:id="6"/>
                            <w:bookmarkEnd w:id="7"/>
                          </w:p>
                          <w:p w:rsidR="0043072F" w:rsidRPr="00C525F1" w:rsidRDefault="0043072F" w:rsidP="00536092">
                            <w:r w:rsidRPr="006C7696">
                              <w:rPr>
                                <w:b/>
                              </w:rPr>
                              <w:t xml:space="preserve">Ottawa – </w:t>
                            </w:r>
                            <w:r w:rsidR="00536092" w:rsidRPr="006C7696">
                              <w:rPr>
                                <w:b/>
                              </w:rPr>
                              <w:t xml:space="preserve">August </w:t>
                            </w:r>
                            <w:r w:rsidR="00D406DA">
                              <w:rPr>
                                <w:b/>
                              </w:rPr>
                              <w:t>8</w:t>
                            </w:r>
                            <w:r w:rsidR="00536092" w:rsidRPr="006C7696">
                              <w:rPr>
                                <w:b/>
                              </w:rPr>
                              <w:t>, 2022</w:t>
                            </w:r>
                            <w:r w:rsidRPr="006C7696">
                              <w:rPr>
                                <w:b/>
                              </w:rPr>
                              <w:t xml:space="preserve"> – </w:t>
                            </w:r>
                            <w:r w:rsidRPr="006C7696">
                              <w:t xml:space="preserve">Global Affairs Canada has determined that the </w:t>
                            </w:r>
                            <w:r w:rsidR="00546F5C" w:rsidRPr="006C7696">
                              <w:rPr>
                                <w:b/>
                              </w:rPr>
                              <w:t xml:space="preserve">Food and Nutrition Security </w:t>
                            </w:r>
                            <w:r w:rsidR="00546F5C" w:rsidRPr="00E72CDC">
                              <w:rPr>
                                <w:b/>
                              </w:rPr>
                              <w:t>and Climate Change in the Sahel (SANC2S)</w:t>
                            </w:r>
                            <w:r w:rsidR="00C525F1">
                              <w:rPr>
                                <w:b/>
                              </w:rPr>
                              <w:t xml:space="preserve"> project</w:t>
                            </w:r>
                            <w:r w:rsidR="00546F5C" w:rsidRPr="00E72CDC">
                              <w:rPr>
                                <w:b/>
                              </w:rPr>
                              <w:t xml:space="preserve"> </w:t>
                            </w:r>
                            <w:bookmarkStart w:id="8" w:name="_GoBack"/>
                            <w:bookmarkEnd w:id="8"/>
                            <w:r w:rsidR="00C525F1">
                              <w:rPr>
                                <w:rFonts w:cstheme="minorHAnsi"/>
                                <w:b/>
                              </w:rPr>
                              <w:t>in</w:t>
                            </w:r>
                            <w:r w:rsidR="006C7696" w:rsidRPr="00E72CDC">
                              <w:rPr>
                                <w:rFonts w:cstheme="minorHAnsi"/>
                                <w:b/>
                              </w:rPr>
                              <w:t xml:space="preserve"> Niger, Mali and Burkina Faso</w:t>
                            </w:r>
                            <w:r w:rsidR="006C7696" w:rsidRPr="00E72CDC">
                              <w:rPr>
                                <w:b/>
                              </w:rPr>
                              <w:t xml:space="preserve"> </w:t>
                            </w:r>
                            <w:r w:rsidRPr="00C525F1">
                              <w:t>is not likely to cause significan</w:t>
                            </w:r>
                            <w:r w:rsidR="00536092" w:rsidRPr="00C525F1">
                              <w:t>t adverse environmental effects.</w:t>
                            </w:r>
                          </w:p>
                          <w:p w:rsidR="0043072F" w:rsidRPr="006C7696" w:rsidRDefault="0043072F" w:rsidP="00C525F1">
                            <w:pPr>
                              <w:spacing w:after="0"/>
                            </w:pPr>
                            <w:r w:rsidRPr="006C7696">
                              <w:t>This determination was based on a consideration of the following factors:</w:t>
                            </w:r>
                          </w:p>
                          <w:p w:rsidR="0043072F" w:rsidRPr="006C7696" w:rsidRDefault="0043072F" w:rsidP="0043072F">
                            <w:pPr>
                              <w:pStyle w:val="ListParagraph"/>
                              <w:numPr>
                                <w:ilvl w:val="0"/>
                                <w:numId w:val="2"/>
                              </w:numPr>
                            </w:pPr>
                            <w:r w:rsidRPr="006C7696">
                              <w:t>Community knowledge;</w:t>
                            </w:r>
                          </w:p>
                          <w:p w:rsidR="0043072F" w:rsidRPr="006C7696" w:rsidRDefault="0043072F" w:rsidP="0043072F">
                            <w:pPr>
                              <w:pStyle w:val="ListParagraph"/>
                              <w:numPr>
                                <w:ilvl w:val="0"/>
                                <w:numId w:val="2"/>
                              </w:numPr>
                            </w:pPr>
                            <w:r w:rsidRPr="006C7696">
                              <w:t>Comments received from the public; and</w:t>
                            </w:r>
                          </w:p>
                          <w:p w:rsidR="0043072F" w:rsidRPr="006C7696" w:rsidRDefault="0043072F" w:rsidP="0043072F">
                            <w:pPr>
                              <w:pStyle w:val="ListParagraph"/>
                              <w:numPr>
                                <w:ilvl w:val="0"/>
                                <w:numId w:val="2"/>
                              </w:numPr>
                            </w:pPr>
                            <w:r w:rsidRPr="006C7696">
                              <w:t>Technically and economically feasible mitigation measures.</w:t>
                            </w:r>
                          </w:p>
                          <w:p w:rsidR="0043072F" w:rsidRPr="006C7696" w:rsidRDefault="002D2A33" w:rsidP="00C525F1">
                            <w:pPr>
                              <w:spacing w:after="0"/>
                            </w:pPr>
                            <w:r w:rsidRPr="006C7696">
                              <w:t xml:space="preserve">As detailed in the attached EIA Report, </w:t>
                            </w:r>
                            <w:r w:rsidR="00831E99" w:rsidRPr="006C7696">
                              <w:t xml:space="preserve">the </w:t>
                            </w:r>
                            <w:r w:rsidRPr="006C7696">
                              <w:t>m</w:t>
                            </w:r>
                            <w:r w:rsidR="0043072F" w:rsidRPr="006C7696">
                              <w:t>itigation measures taken into ac</w:t>
                            </w:r>
                            <w:r w:rsidRPr="006C7696">
                              <w:t>count for this determination</w:t>
                            </w:r>
                            <w:r w:rsidR="0043072F" w:rsidRPr="006C7696">
                              <w:t xml:space="preserve">: </w:t>
                            </w:r>
                          </w:p>
                          <w:p w:rsidR="002D2A33" w:rsidRPr="00831E99" w:rsidRDefault="002D2A33" w:rsidP="00831E99">
                            <w:pPr>
                              <w:pStyle w:val="ListParagraph"/>
                              <w:numPr>
                                <w:ilvl w:val="0"/>
                                <w:numId w:val="4"/>
                              </w:numPr>
                              <w:rPr>
                                <w:lang w:val="en-US"/>
                              </w:rPr>
                            </w:pPr>
                            <w:r w:rsidRPr="006C7696">
                              <w:t>Pertain to the planned agricultural p</w:t>
                            </w:r>
                            <w:r w:rsidR="00F366FF" w:rsidRPr="006C7696">
                              <w:t>rocessing units</w:t>
                            </w:r>
                            <w:r w:rsidRPr="006C7696">
                              <w:t>; s</w:t>
                            </w:r>
                            <w:r w:rsidR="00F366FF" w:rsidRPr="006C7696">
                              <w:t>torage warehouses</w:t>
                            </w:r>
                            <w:r w:rsidRPr="006C7696">
                              <w:t>; d</w:t>
                            </w:r>
                            <w:r w:rsidR="00F366FF" w:rsidRPr="006C7696">
                              <w:t>rinking water boreholes (northern Mali)</w:t>
                            </w:r>
                            <w:r w:rsidRPr="006C7696">
                              <w:t>; m</w:t>
                            </w:r>
                            <w:r w:rsidR="00EA1EA0" w:rsidRPr="006C7696">
                              <w:t>arket garden perimeters with wells and boreholes</w:t>
                            </w:r>
                            <w:r w:rsidR="00844292">
                              <w:t>;</w:t>
                            </w:r>
                            <w:r w:rsidRPr="006C7696">
                              <w:t xml:space="preserve"> b</w:t>
                            </w:r>
                            <w:r w:rsidR="003610E5" w:rsidRPr="006C7696">
                              <w:t>iodigesters</w:t>
                            </w:r>
                            <w:r w:rsidRPr="006C7696">
                              <w:t xml:space="preserve">; and </w:t>
                            </w:r>
                            <w:r w:rsidR="00844292">
                              <w:t xml:space="preserve">related </w:t>
                            </w:r>
                            <w:r w:rsidRPr="006C7696">
                              <w:t>r</w:t>
                            </w:r>
                            <w:r w:rsidR="0029002B" w:rsidRPr="006C7696">
                              <w:t>eforestation</w:t>
                            </w:r>
                            <w:r w:rsidR="0029002B" w:rsidRPr="00831E99">
                              <w:rPr>
                                <w:lang w:val="en-US"/>
                              </w:rPr>
                              <w:t>, dune stabilization and soil conservation</w:t>
                            </w:r>
                            <w:r w:rsidR="00831E99">
                              <w:rPr>
                                <w:lang w:val="en-US"/>
                              </w:rPr>
                              <w:t xml:space="preserve"> </w:t>
                            </w:r>
                            <w:r w:rsidR="00844292">
                              <w:rPr>
                                <w:lang w:val="en-US"/>
                              </w:rPr>
                              <w:t xml:space="preserve">activities </w:t>
                            </w:r>
                            <w:r w:rsidR="00831E99">
                              <w:rPr>
                                <w:lang w:val="en-US"/>
                              </w:rPr>
                              <w:t>– with a focus on</w:t>
                            </w:r>
                            <w:r w:rsidRPr="00831E99">
                              <w:rPr>
                                <w:lang w:val="en-US"/>
                              </w:rPr>
                              <w:t>:</w:t>
                            </w:r>
                          </w:p>
                          <w:p w:rsidR="002D2A33" w:rsidRPr="002D2A33" w:rsidRDefault="002D2A33" w:rsidP="00831E99">
                            <w:pPr>
                              <w:pStyle w:val="ListParagraph"/>
                              <w:numPr>
                                <w:ilvl w:val="0"/>
                                <w:numId w:val="6"/>
                              </w:numPr>
                              <w:rPr>
                                <w:lang w:val="en-US"/>
                              </w:rPr>
                            </w:pPr>
                            <w:r w:rsidRPr="002D2A33">
                              <w:rPr>
                                <w:lang w:val="en-US"/>
                              </w:rPr>
                              <w:t>risks of land disputes and the use of productive spaces and natural resources;</w:t>
                            </w:r>
                          </w:p>
                          <w:p w:rsidR="002D2A33" w:rsidRPr="002D2A33" w:rsidRDefault="002D2A33" w:rsidP="00831E99">
                            <w:pPr>
                              <w:pStyle w:val="ListParagraph"/>
                              <w:numPr>
                                <w:ilvl w:val="0"/>
                                <w:numId w:val="6"/>
                              </w:numPr>
                              <w:rPr>
                                <w:lang w:val="en-US"/>
                              </w:rPr>
                            </w:pPr>
                            <w:r w:rsidRPr="002D2A33">
                              <w:rPr>
                                <w:lang w:val="en-US"/>
                              </w:rPr>
                              <w:t>the level of safety, nuisances and risks of contamination related to construction, rehabilitation, development and operation of the works and spaces supported by the project;</w:t>
                            </w:r>
                          </w:p>
                          <w:p w:rsidR="002D2A33" w:rsidRPr="002D2A33" w:rsidRDefault="002D2A33" w:rsidP="00831E99">
                            <w:pPr>
                              <w:pStyle w:val="ListParagraph"/>
                              <w:numPr>
                                <w:ilvl w:val="0"/>
                                <w:numId w:val="6"/>
                              </w:numPr>
                              <w:rPr>
                                <w:lang w:val="en-US"/>
                              </w:rPr>
                            </w:pPr>
                            <w:r w:rsidRPr="002D2A33">
                              <w:rPr>
                                <w:lang w:val="en-US"/>
                              </w:rPr>
                              <w:t>the functioning, level of maintenance and hygiene of structures, equipment and spaces;</w:t>
                            </w:r>
                          </w:p>
                          <w:p w:rsidR="002D2A33" w:rsidRPr="002D2A33" w:rsidRDefault="002D2A33" w:rsidP="00831E99">
                            <w:pPr>
                              <w:pStyle w:val="ListParagraph"/>
                              <w:numPr>
                                <w:ilvl w:val="0"/>
                                <w:numId w:val="6"/>
                              </w:numPr>
                              <w:rPr>
                                <w:lang w:val="en-US"/>
                              </w:rPr>
                            </w:pPr>
                            <w:r w:rsidRPr="002D2A33">
                              <w:rPr>
                                <w:lang w:val="en-US"/>
                              </w:rPr>
                              <w:t>areas and quality of ecosystems affected by project activities;</w:t>
                            </w:r>
                          </w:p>
                          <w:p w:rsidR="002D2A33" w:rsidRPr="002D2A33" w:rsidRDefault="002D2A33" w:rsidP="00831E99">
                            <w:pPr>
                              <w:pStyle w:val="ListParagraph"/>
                              <w:numPr>
                                <w:ilvl w:val="0"/>
                                <w:numId w:val="6"/>
                              </w:numPr>
                              <w:rPr>
                                <w:lang w:val="en-US"/>
                              </w:rPr>
                            </w:pPr>
                            <w:r w:rsidRPr="002D2A33">
                              <w:rPr>
                                <w:lang w:val="en-US"/>
                              </w:rPr>
                              <w:t>the surface area of ​​areas conserved, restored and managed in a sustainable manner</w:t>
                            </w:r>
                            <w:r w:rsidR="00831E99">
                              <w:rPr>
                                <w:lang w:val="en-US"/>
                              </w:rPr>
                              <w:t>; and</w:t>
                            </w:r>
                          </w:p>
                          <w:p w:rsidR="002D2A33" w:rsidRPr="002D2A33" w:rsidRDefault="002D2A33" w:rsidP="00831E99">
                            <w:pPr>
                              <w:pStyle w:val="ListParagraph"/>
                              <w:numPr>
                                <w:ilvl w:val="0"/>
                                <w:numId w:val="6"/>
                              </w:numPr>
                              <w:rPr>
                                <w:lang w:val="en-US"/>
                              </w:rPr>
                            </w:pPr>
                            <w:r w:rsidRPr="002D2A33">
                              <w:rPr>
                                <w:lang w:val="en-US"/>
                              </w:rPr>
                              <w:t>the conservation of water resources</w:t>
                            </w:r>
                            <w:r w:rsidR="00831E99">
                              <w:rPr>
                                <w:lang w:val="en-US"/>
                              </w:rPr>
                              <w:t>, including</w:t>
                            </w:r>
                            <w:r w:rsidRPr="002D2A33">
                              <w:rPr>
                                <w:lang w:val="en-US"/>
                              </w:rPr>
                              <w:t xml:space="preserve"> distances to the nearest bodies of water, absence of discharge of polluting substances, protection and defense measures, regulation of withdrawals and uses, </w:t>
                            </w:r>
                            <w:r w:rsidR="00831E99">
                              <w:rPr>
                                <w:lang w:val="en-US"/>
                              </w:rPr>
                              <w:t>and so on</w:t>
                            </w:r>
                            <w:r w:rsidRPr="002D2A33">
                              <w:rPr>
                                <w:lang w:val="en-US"/>
                              </w:rPr>
                              <w:t>.</w:t>
                            </w:r>
                          </w:p>
                          <w:p w:rsidR="00831E99" w:rsidRPr="00831E99" w:rsidRDefault="002D2A33" w:rsidP="00831E99">
                            <w:pPr>
                              <w:pStyle w:val="ListParagraph"/>
                              <w:numPr>
                                <w:ilvl w:val="0"/>
                                <w:numId w:val="4"/>
                              </w:numPr>
                              <w:rPr>
                                <w:lang w:val="en-US"/>
                              </w:rPr>
                            </w:pPr>
                            <w:r w:rsidRPr="00831E99">
                              <w:rPr>
                                <w:lang w:val="en-US"/>
                              </w:rPr>
                              <w:t xml:space="preserve">Will be </w:t>
                            </w:r>
                            <w:r w:rsidR="00411373">
                              <w:rPr>
                                <w:lang w:val="en-US"/>
                              </w:rPr>
                              <w:t>implemented</w:t>
                            </w:r>
                            <w:r w:rsidRPr="00831E99">
                              <w:rPr>
                                <w:lang w:val="en-US"/>
                              </w:rPr>
                              <w:t xml:space="preserve"> </w:t>
                            </w:r>
                            <w:r w:rsidR="00831E99" w:rsidRPr="00831E99">
                              <w:rPr>
                                <w:lang w:val="en-US"/>
                              </w:rPr>
                              <w:t>using a monitoring and follow-up tool for environmental effects</w:t>
                            </w:r>
                            <w:r w:rsidR="00281457">
                              <w:rPr>
                                <w:lang w:val="en-US"/>
                              </w:rPr>
                              <w:t xml:space="preserve"> to be </w:t>
                            </w:r>
                            <w:r w:rsidR="00831E99" w:rsidRPr="00831E99">
                              <w:rPr>
                                <w:lang w:val="en-US"/>
                              </w:rPr>
                              <w:t>developed</w:t>
                            </w:r>
                            <w:r w:rsidR="002F47AC" w:rsidRPr="00831E99">
                              <w:rPr>
                                <w:lang w:val="en-US"/>
                              </w:rPr>
                              <w:t xml:space="preserve">, </w:t>
                            </w:r>
                            <w:r w:rsidRPr="00831E99">
                              <w:rPr>
                                <w:lang w:val="en-US"/>
                              </w:rPr>
                              <w:t>diligent</w:t>
                            </w:r>
                            <w:r w:rsidR="00831E99" w:rsidRPr="00831E99">
                              <w:rPr>
                                <w:lang w:val="en-US"/>
                              </w:rPr>
                              <w:t xml:space="preserve">ly applied and reported on annually by the implementing partner. </w:t>
                            </w:r>
                          </w:p>
                          <w:p w:rsidR="0043072F" w:rsidRPr="00536092" w:rsidRDefault="0043072F" w:rsidP="00536092">
                            <w:pPr>
                              <w:rPr>
                                <w:b/>
                                <w:lang w:val="en-US"/>
                              </w:rPr>
                            </w:pPr>
                            <w:r w:rsidRPr="00536092">
                              <w:rPr>
                                <w:lang w:val="en-US"/>
                              </w:rPr>
                              <w:t xml:space="preserve">Global Affairs Canada is satisfied </w:t>
                            </w:r>
                            <w:r w:rsidR="00B06B05">
                              <w:t>that</w:t>
                            </w:r>
                            <w:r w:rsidR="00411373">
                              <w:t>, with implementation of these measures,</w:t>
                            </w:r>
                            <w:r w:rsidR="00B06B05">
                              <w:t xml:space="preserve"> </w:t>
                            </w:r>
                            <w:r w:rsidRPr="0029742F">
                              <w:t>the carrying out of the project is not likely to cause significant adverse environmental effects.</w:t>
                            </w:r>
                          </w:p>
                          <w:p w:rsidR="0043072F" w:rsidRDefault="0043072F" w:rsidP="0043072F">
                            <w:pPr>
                              <w:rPr>
                                <w:lang w:val="en-US"/>
                              </w:rPr>
                            </w:pPr>
                            <w:r w:rsidRPr="0029742F">
                              <w:rPr>
                                <w:lang w:val="en-US"/>
                              </w:rPr>
                              <w:t>Therefore, Global Affairs Canada may carry out the project, exercise any power, perform any duty or function, or provide financial assistance to enable the project to be carried out in whole or in part.</w:t>
                            </w:r>
                          </w:p>
                          <w:p w:rsidR="0043072F" w:rsidRPr="0009152C" w:rsidRDefault="0043072F" w:rsidP="0043072F">
                            <w:pPr>
                              <w:rPr>
                                <w:rFonts w:asciiTheme="minorHAnsi" w:hAnsiTheme="minorHAnsi" w:cstheme="minorBid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766BDA" id="_x0000_t202" coordsize="21600,21600" o:spt="202" path="m,l,21600r21600,l21600,xe">
                <v:stroke joinstyle="miter"/>
                <v:path gradientshapeok="t" o:connecttype="rect"/>
              </v:shapetype>
              <v:shape id="Text Box 2" o:spid="_x0000_s1026" type="#_x0000_t202" style="position:absolute;margin-left:0;margin-top:54.65pt;width:465.75pt;height:572.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" filled="f">
                <v:textbox>
                  <w:txbxContent>
                    <w:p w:rsidR="0043072F" w:rsidRPr="0029742F" w:rsidRDefault="0043072F" w:rsidP="0043072F">
                      <w:pPr>
                        <w:pStyle w:val="Heading1"/>
                        <w:rPr>
                          <w:lang w:val="en-US"/>
                        </w:rPr>
                      </w:pPr>
                      <w:bookmarkStart w:id="9" w:name="_Toc13819793"/>
                      <w:bookmarkStart w:id="10" w:name="_Toc13823195"/>
                      <w:bookmarkStart w:id="11" w:name="_Toc14963757"/>
                      <w:bookmarkStart w:id="12" w:name="_Toc14966154"/>
                      <w:bookmarkStart w:id="13" w:name="_Toc14966204"/>
                      <w:bookmarkStart w:id="14" w:name="_Toc15075293"/>
                      <w:bookmarkStart w:id="15" w:name="_Toc16779906"/>
                      <w:bookmarkStart w:id="16" w:name="_Toc16780308"/>
                      <w:r w:rsidRPr="0029742F">
                        <w:rPr>
                          <w:lang w:val="en-US"/>
                        </w:rPr>
                        <w:t>Notice of Determination</w:t>
                      </w:r>
                      <w:bookmarkEnd w:id="9"/>
                      <w:bookmarkEnd w:id="10"/>
                      <w:bookmarkEnd w:id="11"/>
                      <w:bookmarkEnd w:id="12"/>
                      <w:bookmarkEnd w:id="13"/>
                      <w:bookmarkEnd w:id="14"/>
                      <w:bookmarkEnd w:id="15"/>
                      <w:bookmarkEnd w:id="16"/>
                    </w:p>
                    <w:p w:rsidR="0043072F" w:rsidRPr="00C525F1" w:rsidRDefault="0043072F" w:rsidP="00536092">
                      <w:r w:rsidRPr="006C7696">
                        <w:rPr>
                          <w:b/>
                        </w:rPr>
                        <w:t xml:space="preserve">Ottawa – </w:t>
                      </w:r>
                      <w:r w:rsidR="00536092" w:rsidRPr="006C7696">
                        <w:rPr>
                          <w:b/>
                        </w:rPr>
                        <w:t xml:space="preserve">August </w:t>
                      </w:r>
                      <w:r w:rsidR="00D406DA">
                        <w:rPr>
                          <w:b/>
                        </w:rPr>
                        <w:t>8</w:t>
                      </w:r>
                      <w:r w:rsidR="00536092" w:rsidRPr="006C7696">
                        <w:rPr>
                          <w:b/>
                        </w:rPr>
                        <w:t>, 2022</w:t>
                      </w:r>
                      <w:r w:rsidRPr="006C7696">
                        <w:rPr>
                          <w:b/>
                        </w:rPr>
                        <w:t xml:space="preserve"> – </w:t>
                      </w:r>
                      <w:r w:rsidRPr="006C7696">
                        <w:t xml:space="preserve">Global Affairs Canada has determined that the </w:t>
                      </w:r>
                      <w:r w:rsidR="00546F5C" w:rsidRPr="006C7696">
                        <w:rPr>
                          <w:b/>
                        </w:rPr>
                        <w:t xml:space="preserve">Food and Nutrition Security </w:t>
                      </w:r>
                      <w:r w:rsidR="00546F5C" w:rsidRPr="00E72CDC">
                        <w:rPr>
                          <w:b/>
                        </w:rPr>
                        <w:t>and Climate Change in the Sahel (SANC2S)</w:t>
                      </w:r>
                      <w:r w:rsidR="00C525F1">
                        <w:rPr>
                          <w:b/>
                        </w:rPr>
                        <w:t xml:space="preserve"> project</w:t>
                      </w:r>
                      <w:r w:rsidR="00546F5C" w:rsidRPr="00E72CDC">
                        <w:rPr>
                          <w:b/>
                        </w:rPr>
                        <w:t xml:space="preserve"> </w:t>
                      </w:r>
                      <w:bookmarkStart w:id="17" w:name="_GoBack"/>
                      <w:bookmarkEnd w:id="17"/>
                      <w:r w:rsidR="00C525F1">
                        <w:rPr>
                          <w:rFonts w:cstheme="minorHAnsi"/>
                          <w:b/>
                        </w:rPr>
                        <w:t>in</w:t>
                      </w:r>
                      <w:r w:rsidR="006C7696" w:rsidRPr="00E72CDC">
                        <w:rPr>
                          <w:rFonts w:cstheme="minorHAnsi"/>
                          <w:b/>
                        </w:rPr>
                        <w:t xml:space="preserve"> Niger, Mali and Burkina Faso</w:t>
                      </w:r>
                      <w:r w:rsidR="006C7696" w:rsidRPr="00E72CDC">
                        <w:rPr>
                          <w:b/>
                        </w:rPr>
                        <w:t xml:space="preserve"> </w:t>
                      </w:r>
                      <w:r w:rsidRPr="00C525F1">
                        <w:t>is not likely to cause significan</w:t>
                      </w:r>
                      <w:r w:rsidR="00536092" w:rsidRPr="00C525F1">
                        <w:t>t adverse environmental effects.</w:t>
                      </w:r>
                    </w:p>
                    <w:p w:rsidR="0043072F" w:rsidRPr="006C7696" w:rsidRDefault="0043072F" w:rsidP="00C525F1">
                      <w:pPr>
                        <w:spacing w:after="0"/>
                      </w:pPr>
                      <w:r w:rsidRPr="006C7696">
                        <w:t>This determination was based on a consideration of the following factors:</w:t>
                      </w:r>
                    </w:p>
                    <w:p w:rsidR="0043072F" w:rsidRPr="006C7696" w:rsidRDefault="0043072F" w:rsidP="0043072F">
                      <w:pPr>
                        <w:pStyle w:val="ListParagraph"/>
                        <w:numPr>
                          <w:ilvl w:val="0"/>
                          <w:numId w:val="2"/>
                        </w:numPr>
                      </w:pPr>
                      <w:r w:rsidRPr="006C7696">
                        <w:t>Community knowledge;</w:t>
                      </w:r>
                    </w:p>
                    <w:p w:rsidR="0043072F" w:rsidRPr="006C7696" w:rsidRDefault="0043072F" w:rsidP="0043072F">
                      <w:pPr>
                        <w:pStyle w:val="ListParagraph"/>
                        <w:numPr>
                          <w:ilvl w:val="0"/>
                          <w:numId w:val="2"/>
                        </w:numPr>
                      </w:pPr>
                      <w:r w:rsidRPr="006C7696">
                        <w:t>Comments received from the public; and</w:t>
                      </w:r>
                    </w:p>
                    <w:p w:rsidR="0043072F" w:rsidRPr="006C7696" w:rsidRDefault="0043072F" w:rsidP="0043072F">
                      <w:pPr>
                        <w:pStyle w:val="ListParagraph"/>
                        <w:numPr>
                          <w:ilvl w:val="0"/>
                          <w:numId w:val="2"/>
                        </w:numPr>
                      </w:pPr>
                      <w:r w:rsidRPr="006C7696">
                        <w:t>Technically and economically feasible mitigation measures.</w:t>
                      </w:r>
                    </w:p>
                    <w:p w:rsidR="0043072F" w:rsidRPr="006C7696" w:rsidRDefault="002D2A33" w:rsidP="00C525F1">
                      <w:pPr>
                        <w:spacing w:after="0"/>
                      </w:pPr>
                      <w:r w:rsidRPr="006C7696">
                        <w:t xml:space="preserve">As detailed in the attached EIA Report, </w:t>
                      </w:r>
                      <w:r w:rsidR="00831E99" w:rsidRPr="006C7696">
                        <w:t xml:space="preserve">the </w:t>
                      </w:r>
                      <w:r w:rsidRPr="006C7696">
                        <w:t>m</w:t>
                      </w:r>
                      <w:r w:rsidR="0043072F" w:rsidRPr="006C7696">
                        <w:t>itigation measures taken into ac</w:t>
                      </w:r>
                      <w:r w:rsidRPr="006C7696">
                        <w:t>count for this determination</w:t>
                      </w:r>
                      <w:r w:rsidR="0043072F" w:rsidRPr="006C7696">
                        <w:t xml:space="preserve">: </w:t>
                      </w:r>
                    </w:p>
                    <w:p w:rsidR="002D2A33" w:rsidRPr="00831E99" w:rsidRDefault="002D2A33" w:rsidP="00831E99">
                      <w:pPr>
                        <w:pStyle w:val="ListParagraph"/>
                        <w:numPr>
                          <w:ilvl w:val="0"/>
                          <w:numId w:val="4"/>
                        </w:numPr>
                        <w:rPr>
                          <w:lang w:val="en-US"/>
                        </w:rPr>
                      </w:pPr>
                      <w:r w:rsidRPr="006C7696">
                        <w:t>Pertain to the planned agricultural p</w:t>
                      </w:r>
                      <w:r w:rsidR="00F366FF" w:rsidRPr="006C7696">
                        <w:t>rocessing units</w:t>
                      </w:r>
                      <w:r w:rsidRPr="006C7696">
                        <w:t>; s</w:t>
                      </w:r>
                      <w:r w:rsidR="00F366FF" w:rsidRPr="006C7696">
                        <w:t>torage warehouses</w:t>
                      </w:r>
                      <w:r w:rsidRPr="006C7696">
                        <w:t>; d</w:t>
                      </w:r>
                      <w:r w:rsidR="00F366FF" w:rsidRPr="006C7696">
                        <w:t>rinking water boreholes (northern Mali)</w:t>
                      </w:r>
                      <w:r w:rsidRPr="006C7696">
                        <w:t>; m</w:t>
                      </w:r>
                      <w:r w:rsidR="00EA1EA0" w:rsidRPr="006C7696">
                        <w:t>arket garden perimeters with wells and boreholes</w:t>
                      </w:r>
                      <w:r w:rsidR="00844292">
                        <w:t>;</w:t>
                      </w:r>
                      <w:r w:rsidRPr="006C7696">
                        <w:t xml:space="preserve"> b</w:t>
                      </w:r>
                      <w:r w:rsidR="003610E5" w:rsidRPr="006C7696">
                        <w:t>iodigesters</w:t>
                      </w:r>
                      <w:r w:rsidRPr="006C7696">
                        <w:t xml:space="preserve">; and </w:t>
                      </w:r>
                      <w:r w:rsidR="00844292">
                        <w:t xml:space="preserve">related </w:t>
                      </w:r>
                      <w:r w:rsidRPr="006C7696">
                        <w:t>r</w:t>
                      </w:r>
                      <w:r w:rsidR="0029002B" w:rsidRPr="006C7696">
                        <w:t>eforestation</w:t>
                      </w:r>
                      <w:r w:rsidR="0029002B" w:rsidRPr="00831E99">
                        <w:rPr>
                          <w:lang w:val="en-US"/>
                        </w:rPr>
                        <w:t>, dune stabilization and soil conservation</w:t>
                      </w:r>
                      <w:r w:rsidR="00831E99">
                        <w:rPr>
                          <w:lang w:val="en-US"/>
                        </w:rPr>
                        <w:t xml:space="preserve"> </w:t>
                      </w:r>
                      <w:r w:rsidR="00844292">
                        <w:rPr>
                          <w:lang w:val="en-US"/>
                        </w:rPr>
                        <w:t xml:space="preserve">activities </w:t>
                      </w:r>
                      <w:r w:rsidR="00831E99">
                        <w:rPr>
                          <w:lang w:val="en-US"/>
                        </w:rPr>
                        <w:t>– with a focus on</w:t>
                      </w:r>
                      <w:r w:rsidRPr="00831E99">
                        <w:rPr>
                          <w:lang w:val="en-US"/>
                        </w:rPr>
                        <w:t>:</w:t>
                      </w:r>
                    </w:p>
                    <w:p w:rsidR="002D2A33" w:rsidRPr="002D2A33" w:rsidRDefault="002D2A33" w:rsidP="00831E99">
                      <w:pPr>
                        <w:pStyle w:val="ListParagraph"/>
                        <w:numPr>
                          <w:ilvl w:val="0"/>
                          <w:numId w:val="6"/>
                        </w:numPr>
                        <w:rPr>
                          <w:lang w:val="en-US"/>
                        </w:rPr>
                      </w:pPr>
                      <w:r w:rsidRPr="002D2A33">
                        <w:rPr>
                          <w:lang w:val="en-US"/>
                        </w:rPr>
                        <w:t>risks of land disputes and the use of productive spaces and natural resources;</w:t>
                      </w:r>
                    </w:p>
                    <w:p w:rsidR="002D2A33" w:rsidRPr="002D2A33" w:rsidRDefault="002D2A33" w:rsidP="00831E99">
                      <w:pPr>
                        <w:pStyle w:val="ListParagraph"/>
                        <w:numPr>
                          <w:ilvl w:val="0"/>
                          <w:numId w:val="6"/>
                        </w:numPr>
                        <w:rPr>
                          <w:lang w:val="en-US"/>
                        </w:rPr>
                      </w:pPr>
                      <w:r w:rsidRPr="002D2A33">
                        <w:rPr>
                          <w:lang w:val="en-US"/>
                        </w:rPr>
                        <w:t>the level of safety, nuisances and risks of contamination related to construction, rehabilitation, development and operation of the works and spaces supported by the project;</w:t>
                      </w:r>
                    </w:p>
                    <w:p w:rsidR="002D2A33" w:rsidRPr="002D2A33" w:rsidRDefault="002D2A33" w:rsidP="00831E99">
                      <w:pPr>
                        <w:pStyle w:val="ListParagraph"/>
                        <w:numPr>
                          <w:ilvl w:val="0"/>
                          <w:numId w:val="6"/>
                        </w:numPr>
                        <w:rPr>
                          <w:lang w:val="en-US"/>
                        </w:rPr>
                      </w:pPr>
                      <w:r w:rsidRPr="002D2A33">
                        <w:rPr>
                          <w:lang w:val="en-US"/>
                        </w:rPr>
                        <w:t>the functioning, level of maintenance and hygiene of structures, equipment and spaces;</w:t>
                      </w:r>
                    </w:p>
                    <w:p w:rsidR="002D2A33" w:rsidRPr="002D2A33" w:rsidRDefault="002D2A33" w:rsidP="00831E99">
                      <w:pPr>
                        <w:pStyle w:val="ListParagraph"/>
                        <w:numPr>
                          <w:ilvl w:val="0"/>
                          <w:numId w:val="6"/>
                        </w:numPr>
                        <w:rPr>
                          <w:lang w:val="en-US"/>
                        </w:rPr>
                      </w:pPr>
                      <w:r w:rsidRPr="002D2A33">
                        <w:rPr>
                          <w:lang w:val="en-US"/>
                        </w:rPr>
                        <w:t>areas and quality of ecosystems affected by project activities;</w:t>
                      </w:r>
                    </w:p>
                    <w:p w:rsidR="002D2A33" w:rsidRPr="002D2A33" w:rsidRDefault="002D2A33" w:rsidP="00831E99">
                      <w:pPr>
                        <w:pStyle w:val="ListParagraph"/>
                        <w:numPr>
                          <w:ilvl w:val="0"/>
                          <w:numId w:val="6"/>
                        </w:numPr>
                        <w:rPr>
                          <w:lang w:val="en-US"/>
                        </w:rPr>
                      </w:pPr>
                      <w:r w:rsidRPr="002D2A33">
                        <w:rPr>
                          <w:lang w:val="en-US"/>
                        </w:rPr>
                        <w:t>the surface area of ​​areas conserved, restored and managed in a sustainable manner</w:t>
                      </w:r>
                      <w:r w:rsidR="00831E99">
                        <w:rPr>
                          <w:lang w:val="en-US"/>
                        </w:rPr>
                        <w:t>; and</w:t>
                      </w:r>
                    </w:p>
                    <w:p w:rsidR="002D2A33" w:rsidRPr="002D2A33" w:rsidRDefault="002D2A33" w:rsidP="00831E99">
                      <w:pPr>
                        <w:pStyle w:val="ListParagraph"/>
                        <w:numPr>
                          <w:ilvl w:val="0"/>
                          <w:numId w:val="6"/>
                        </w:numPr>
                        <w:rPr>
                          <w:lang w:val="en-US"/>
                        </w:rPr>
                      </w:pPr>
                      <w:r w:rsidRPr="002D2A33">
                        <w:rPr>
                          <w:lang w:val="en-US"/>
                        </w:rPr>
                        <w:t>the conservation of water resources</w:t>
                      </w:r>
                      <w:r w:rsidR="00831E99">
                        <w:rPr>
                          <w:lang w:val="en-US"/>
                        </w:rPr>
                        <w:t>, including</w:t>
                      </w:r>
                      <w:r w:rsidRPr="002D2A33">
                        <w:rPr>
                          <w:lang w:val="en-US"/>
                        </w:rPr>
                        <w:t xml:space="preserve"> distances to the nearest bodies of water, absence of discharge of polluting substances, protection and defense measures, regulation of withdrawals and uses, </w:t>
                      </w:r>
                      <w:r w:rsidR="00831E99">
                        <w:rPr>
                          <w:lang w:val="en-US"/>
                        </w:rPr>
                        <w:t>and so on</w:t>
                      </w:r>
                      <w:r w:rsidRPr="002D2A33">
                        <w:rPr>
                          <w:lang w:val="en-US"/>
                        </w:rPr>
                        <w:t>.</w:t>
                      </w:r>
                    </w:p>
                    <w:p w:rsidR="00831E99" w:rsidRPr="00831E99" w:rsidRDefault="002D2A33" w:rsidP="00831E99">
                      <w:pPr>
                        <w:pStyle w:val="ListParagraph"/>
                        <w:numPr>
                          <w:ilvl w:val="0"/>
                          <w:numId w:val="4"/>
                        </w:numPr>
                        <w:rPr>
                          <w:lang w:val="en-US"/>
                        </w:rPr>
                      </w:pPr>
                      <w:r w:rsidRPr="00831E99">
                        <w:rPr>
                          <w:lang w:val="en-US"/>
                        </w:rPr>
                        <w:t xml:space="preserve">Will be </w:t>
                      </w:r>
                      <w:r w:rsidR="00411373">
                        <w:rPr>
                          <w:lang w:val="en-US"/>
                        </w:rPr>
                        <w:t>implemented</w:t>
                      </w:r>
                      <w:r w:rsidRPr="00831E99">
                        <w:rPr>
                          <w:lang w:val="en-US"/>
                        </w:rPr>
                        <w:t xml:space="preserve"> </w:t>
                      </w:r>
                      <w:r w:rsidR="00831E99" w:rsidRPr="00831E99">
                        <w:rPr>
                          <w:lang w:val="en-US"/>
                        </w:rPr>
                        <w:t>using a monitoring and follow-up tool for environmental effects</w:t>
                      </w:r>
                      <w:r w:rsidR="00281457">
                        <w:rPr>
                          <w:lang w:val="en-US"/>
                        </w:rPr>
                        <w:t xml:space="preserve"> to be </w:t>
                      </w:r>
                      <w:r w:rsidR="00831E99" w:rsidRPr="00831E99">
                        <w:rPr>
                          <w:lang w:val="en-US"/>
                        </w:rPr>
                        <w:t>developed</w:t>
                      </w:r>
                      <w:r w:rsidR="002F47AC" w:rsidRPr="00831E99">
                        <w:rPr>
                          <w:lang w:val="en-US"/>
                        </w:rPr>
                        <w:t xml:space="preserve">, </w:t>
                      </w:r>
                      <w:r w:rsidRPr="00831E99">
                        <w:rPr>
                          <w:lang w:val="en-US"/>
                        </w:rPr>
                        <w:t>diligent</w:t>
                      </w:r>
                      <w:r w:rsidR="00831E99" w:rsidRPr="00831E99">
                        <w:rPr>
                          <w:lang w:val="en-US"/>
                        </w:rPr>
                        <w:t xml:space="preserve">ly applied and reported on annually by the implementing partner. </w:t>
                      </w:r>
                    </w:p>
                    <w:p w:rsidR="0043072F" w:rsidRPr="00536092" w:rsidRDefault="0043072F" w:rsidP="00536092">
                      <w:pPr>
                        <w:rPr>
                          <w:b/>
                          <w:lang w:val="en-US"/>
                        </w:rPr>
                      </w:pPr>
                      <w:r w:rsidRPr="00536092">
                        <w:rPr>
                          <w:lang w:val="en-US"/>
                        </w:rPr>
                        <w:t xml:space="preserve">Global Affairs Canada is satisfied </w:t>
                      </w:r>
                      <w:r w:rsidR="00B06B05">
                        <w:t>that</w:t>
                      </w:r>
                      <w:r w:rsidR="00411373">
                        <w:t>, with implementation of these measures,</w:t>
                      </w:r>
                      <w:r w:rsidR="00B06B05">
                        <w:t xml:space="preserve"> </w:t>
                      </w:r>
                      <w:r w:rsidRPr="0029742F">
                        <w:t>the carrying out of the project is not likely to cause significant adverse environmental effects.</w:t>
                      </w:r>
                    </w:p>
                    <w:p w:rsidR="0043072F" w:rsidRDefault="0043072F" w:rsidP="0043072F">
                      <w:pPr>
                        <w:rPr>
                          <w:lang w:val="en-US"/>
                        </w:rPr>
                      </w:pPr>
                      <w:r w:rsidRPr="0029742F">
                        <w:rPr>
                          <w:lang w:val="en-US"/>
                        </w:rPr>
                        <w:t>Therefore, Global Affairs Canada may carry out the project, exercise any power, perform any duty or function, or provide financial assistance to enable the project to be carried out in whole or in part.</w:t>
                      </w:r>
                    </w:p>
                    <w:p w:rsidR="0043072F" w:rsidRPr="0009152C" w:rsidRDefault="0043072F" w:rsidP="0043072F">
                      <w:pPr>
                        <w:rPr>
                          <w:rFonts w:asciiTheme="minorHAnsi" w:hAnsiTheme="minorHAnsi" w:cstheme="minorBidi"/>
                          <w:lang w:val="en-US"/>
                        </w:rPr>
                      </w:pPr>
                    </w:p>
                  </w:txbxContent>
                </v:textbox>
                <w10:wrap type="square" anchorx="margin"/>
              </v:shape>
            </w:pict>
          </mc:Fallback>
        </mc:AlternateContent>
      </w:r>
      <w:r w:rsidR="006C7696">
        <w:rPr>
          <w:b/>
        </w:rPr>
        <w:t xml:space="preserve">August </w:t>
      </w:r>
      <w:r w:rsidR="00D406DA">
        <w:rPr>
          <w:b/>
        </w:rPr>
        <w:t>8</w:t>
      </w:r>
      <w:r w:rsidR="006C7696">
        <w:rPr>
          <w:b/>
        </w:rPr>
        <w:t>, 2022</w:t>
      </w:r>
      <w:r w:rsidR="006C7696" w:rsidRPr="0029742F">
        <w:rPr>
          <w:b/>
        </w:rPr>
        <w:t xml:space="preserve"> </w:t>
      </w:r>
      <w:r w:rsidR="006C7696" w:rsidRPr="0029742F">
        <w:t xml:space="preserve">– Global Affairs Canada issued its Notice of Determination and determined that the project </w:t>
      </w:r>
      <w:r w:rsidR="006C7696" w:rsidRPr="008042CE">
        <w:rPr>
          <w:b/>
        </w:rPr>
        <w:t>is not likely to cause significant adverse environmental effects</w:t>
      </w:r>
      <w:r w:rsidR="006C7696">
        <w:rPr>
          <w:b/>
        </w:rPr>
        <w:t>.</w:t>
      </w:r>
    </w:p>
    <w:sectPr w:rsidR="00B30EDB" w:rsidRPr="006C7696" w:rsidSect="00411373">
      <w:pgSz w:w="12240" w:h="15840"/>
      <w:pgMar w:top="108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0138E"/>
    <w:multiLevelType w:val="hybridMultilevel"/>
    <w:tmpl w:val="C0CE14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25009A"/>
    <w:multiLevelType w:val="hybridMultilevel"/>
    <w:tmpl w:val="A45AB59C"/>
    <w:lvl w:ilvl="0" w:tplc="10090001">
      <w:start w:val="1"/>
      <w:numFmt w:val="bullet"/>
      <w:lvlText w:val=""/>
      <w:lvlJc w:val="left"/>
      <w:pPr>
        <w:ind w:left="1068" w:hanging="360"/>
      </w:pPr>
      <w:rPr>
        <w:rFonts w:ascii="Symbol" w:hAnsi="Symbol" w:hint="default"/>
      </w:rPr>
    </w:lvl>
    <w:lvl w:ilvl="1" w:tplc="9064DC2E">
      <w:start w:val="1"/>
      <w:numFmt w:val="bullet"/>
      <w:lvlText w:val="-"/>
      <w:lvlJc w:val="left"/>
      <w:pPr>
        <w:ind w:left="1788" w:hanging="360"/>
      </w:pPr>
      <w:rPr>
        <w:rFonts w:ascii="Arial" w:hAnsi="Arial"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3" w15:restartNumberingAfterBreak="0">
    <w:nsid w:val="59E577D6"/>
    <w:multiLevelType w:val="hybridMultilevel"/>
    <w:tmpl w:val="4D366F18"/>
    <w:lvl w:ilvl="0" w:tplc="9064DC2E">
      <w:start w:val="1"/>
      <w:numFmt w:val="bullet"/>
      <w:lvlText w:val="-"/>
      <w:lvlJc w:val="left"/>
      <w:pPr>
        <w:ind w:left="1068" w:hanging="360"/>
      </w:pPr>
      <w:rPr>
        <w:rFonts w:ascii="Arial" w:hAnsi="Arial" w:hint="default"/>
      </w:rPr>
    </w:lvl>
    <w:lvl w:ilvl="1" w:tplc="9064DC2E">
      <w:start w:val="1"/>
      <w:numFmt w:val="bullet"/>
      <w:lvlText w:val="-"/>
      <w:lvlJc w:val="left"/>
      <w:pPr>
        <w:ind w:left="1788" w:hanging="360"/>
      </w:pPr>
      <w:rPr>
        <w:rFonts w:ascii="Arial" w:hAnsi="Arial"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4" w15:restartNumberingAfterBreak="0">
    <w:nsid w:val="68D90CAD"/>
    <w:multiLevelType w:val="hybridMultilevel"/>
    <w:tmpl w:val="DB9C8C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B1"/>
    <w:rsid w:val="000800B1"/>
    <w:rsid w:val="000D0969"/>
    <w:rsid w:val="001148DE"/>
    <w:rsid w:val="00246479"/>
    <w:rsid w:val="00281457"/>
    <w:rsid w:val="0029002B"/>
    <w:rsid w:val="0029742F"/>
    <w:rsid w:val="002D2A33"/>
    <w:rsid w:val="002F47AC"/>
    <w:rsid w:val="003610E5"/>
    <w:rsid w:val="00411373"/>
    <w:rsid w:val="0043072F"/>
    <w:rsid w:val="00536092"/>
    <w:rsid w:val="00546F5C"/>
    <w:rsid w:val="00616785"/>
    <w:rsid w:val="00696092"/>
    <w:rsid w:val="006C7696"/>
    <w:rsid w:val="00727A7C"/>
    <w:rsid w:val="008042CE"/>
    <w:rsid w:val="00831E99"/>
    <w:rsid w:val="00844292"/>
    <w:rsid w:val="009E37DB"/>
    <w:rsid w:val="00A4238C"/>
    <w:rsid w:val="00B06B05"/>
    <w:rsid w:val="00B30EDB"/>
    <w:rsid w:val="00C525F1"/>
    <w:rsid w:val="00D406DA"/>
    <w:rsid w:val="00E72CDC"/>
    <w:rsid w:val="00E77D85"/>
    <w:rsid w:val="00EA1EA0"/>
    <w:rsid w:val="00EC26C8"/>
    <w:rsid w:val="00F366F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7C5E5"/>
  <w15:docId w15:val="{7F473811-6F29-49F1-97AF-238BFC00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3072F"/>
    <w:rPr>
      <w:rFonts w:ascii="Arial" w:hAnsi="Arial" w:cs="Arial"/>
      <w:lang w:val="en-CA"/>
    </w:rPr>
  </w:style>
  <w:style w:type="paragraph" w:styleId="Heading1">
    <w:name w:val="heading 1"/>
    <w:basedOn w:val="Normal"/>
    <w:next w:val="Normal"/>
    <w:link w:val="Heading1Char"/>
    <w:autoRedefine/>
    <w:uiPriority w:val="9"/>
    <w:rsid w:val="0043072F"/>
    <w:pPr>
      <w:keepNext/>
      <w:keepLines/>
      <w:spacing w:after="0"/>
      <w:outlineLvl w:val="0"/>
    </w:pPr>
    <w:rPr>
      <w:rFonts w:eastAsiaTheme="majorEastAsia"/>
      <w:b/>
      <w:bCs/>
      <w:color w:val="196D9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72F"/>
    <w:pPr>
      <w:ind w:left="720"/>
      <w:contextualSpacing/>
    </w:pPr>
  </w:style>
  <w:style w:type="character" w:customStyle="1" w:styleId="Heading1Char">
    <w:name w:val="Heading 1 Char"/>
    <w:basedOn w:val="DefaultParagraphFont"/>
    <w:link w:val="Heading1"/>
    <w:uiPriority w:val="9"/>
    <w:rsid w:val="0043072F"/>
    <w:rPr>
      <w:rFonts w:ascii="Arial" w:eastAsiaTheme="majorEastAsia" w:hAnsi="Arial" w:cs="Arial"/>
      <w:b/>
      <w:bCs/>
      <w:color w:val="196D9B"/>
      <w:sz w:val="32"/>
      <w:szCs w:val="28"/>
      <w:lang w:val="en-CA"/>
    </w:rPr>
  </w:style>
  <w:style w:type="character" w:styleId="Hyperlink">
    <w:name w:val="Hyperlink"/>
    <w:basedOn w:val="DefaultParagraphFont"/>
    <w:uiPriority w:val="99"/>
    <w:semiHidden/>
    <w:unhideWhenUsed/>
    <w:rsid w:val="00B30EDB"/>
    <w:rPr>
      <w:color w:val="0000FF" w:themeColor="hyperlink"/>
      <w:u w:val="single"/>
    </w:rPr>
  </w:style>
  <w:style w:type="paragraph" w:styleId="BalloonText">
    <w:name w:val="Balloon Text"/>
    <w:basedOn w:val="Normal"/>
    <w:link w:val="BalloonTextChar"/>
    <w:uiPriority w:val="99"/>
    <w:semiHidden/>
    <w:unhideWhenUsed/>
    <w:rsid w:val="00B30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EDB"/>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07711">
      <w:bodyDiv w:val="1"/>
      <w:marLeft w:val="0"/>
      <w:marRight w:val="0"/>
      <w:marTop w:val="0"/>
      <w:marBottom w:val="0"/>
      <w:divBdr>
        <w:top w:val="none" w:sz="0" w:space="0" w:color="auto"/>
        <w:left w:val="none" w:sz="0" w:space="0" w:color="auto"/>
        <w:bottom w:val="none" w:sz="0" w:space="0" w:color="auto"/>
        <w:right w:val="none" w:sz="0" w:space="0" w:color="auto"/>
      </w:divBdr>
    </w:div>
    <w:div w:id="673193321">
      <w:bodyDiv w:val="1"/>
      <w:marLeft w:val="0"/>
      <w:marRight w:val="0"/>
      <w:marTop w:val="0"/>
      <w:marBottom w:val="0"/>
      <w:divBdr>
        <w:top w:val="none" w:sz="0" w:space="0" w:color="auto"/>
        <w:left w:val="none" w:sz="0" w:space="0" w:color="auto"/>
        <w:bottom w:val="none" w:sz="0" w:space="0" w:color="auto"/>
        <w:right w:val="none" w:sz="0" w:space="0" w:color="auto"/>
      </w:divBdr>
    </w:div>
    <w:div w:id="108712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Words>
  <Characters>169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DFAIT-MAECI</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Tremblay, Stephane -MSS</dc:creator>
  <cp:keywords/>
  <dc:description/>
  <cp:lastModifiedBy>Riordon, Sheila -KGAI</cp:lastModifiedBy>
  <cp:revision>3</cp:revision>
  <dcterms:created xsi:type="dcterms:W3CDTF">2022-08-08T15:54:00Z</dcterms:created>
  <dcterms:modified xsi:type="dcterms:W3CDTF">2022-08-08T16:06:00Z</dcterms:modified>
</cp:coreProperties>
</file>